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14:paraId="4F7CC403" w14:textId="77C1150F" w:rsidR="000B01A4" w:rsidRDefault="00DC4C91" w:rsidP="003107DD">
      <w:pPr>
        <w:pStyle w:val="ListParagraph"/>
        <w:numPr>
          <w:ilvl w:val="0"/>
          <w:numId w:val="1"/>
        </w:numPr>
        <w:spacing w:after="0"/>
        <w:jc w:val="both"/>
      </w:pPr>
      <w:r>
        <w:t>Working group n</w:t>
      </w:r>
      <w:r w:rsidR="000B01A4" w:rsidRPr="003110FB">
        <w:t>ame:</w:t>
      </w:r>
    </w:p>
    <w:p w14:paraId="25BB182C" w14:textId="77777777" w:rsidR="007C38BF" w:rsidRDefault="007C38BF" w:rsidP="003107DD">
      <w:pPr>
        <w:pStyle w:val="ListParagraph"/>
        <w:spacing w:after="0"/>
        <w:jc w:val="both"/>
      </w:pPr>
    </w:p>
    <w:p w14:paraId="159B2255" w14:textId="7B80E241" w:rsidR="007C38BF" w:rsidRPr="007C38BF" w:rsidRDefault="007C38BF" w:rsidP="003107DD">
      <w:pPr>
        <w:pStyle w:val="ListParagraph"/>
        <w:spacing w:after="0"/>
        <w:jc w:val="both"/>
        <w:rPr>
          <w:i/>
          <w:color w:val="0070C0"/>
        </w:rPr>
      </w:pPr>
      <w:r w:rsidRPr="007C38BF">
        <w:rPr>
          <w:i/>
          <w:color w:val="0070C0"/>
        </w:rPr>
        <w:t>Law Enforcement Working Group</w:t>
      </w:r>
    </w:p>
    <w:p w14:paraId="403A0A8A" w14:textId="77777777" w:rsidR="000B01A4" w:rsidRPr="003110FB" w:rsidRDefault="000B01A4" w:rsidP="003107DD">
      <w:pPr>
        <w:pStyle w:val="ListParagraph"/>
        <w:spacing w:after="0"/>
        <w:jc w:val="both"/>
      </w:pPr>
    </w:p>
    <w:p w14:paraId="0DB32DFC" w14:textId="142AAB3B" w:rsidR="007746E2" w:rsidRDefault="00DC4C91" w:rsidP="003107DD">
      <w:pPr>
        <w:pStyle w:val="ListParagraph"/>
        <w:numPr>
          <w:ilvl w:val="0"/>
          <w:numId w:val="1"/>
        </w:numPr>
        <w:spacing w:after="0"/>
        <w:jc w:val="both"/>
      </w:pPr>
      <w:r>
        <w:t>Individual s</w:t>
      </w:r>
      <w:r w:rsidR="007746E2" w:rsidRPr="003110FB">
        <w:t xml:space="preserve">ponsor(s): </w:t>
      </w:r>
    </w:p>
    <w:p w14:paraId="4B6758FD" w14:textId="77777777" w:rsidR="007C38BF" w:rsidRDefault="007C38BF" w:rsidP="003107DD">
      <w:pPr>
        <w:pStyle w:val="ListParagraph"/>
        <w:spacing w:after="0"/>
        <w:jc w:val="both"/>
      </w:pPr>
    </w:p>
    <w:p w14:paraId="50B51997" w14:textId="10389FEC" w:rsidR="007C38BF" w:rsidRDefault="00167701" w:rsidP="003107DD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Josh</w:t>
      </w:r>
      <w:r w:rsidR="007C38BF" w:rsidRPr="007C38BF">
        <w:rPr>
          <w:i/>
          <w:color w:val="0070C0"/>
        </w:rPr>
        <w:t xml:space="preserve"> Chaney, Deputy, </w:t>
      </w:r>
      <w:proofErr w:type="gramStart"/>
      <w:r w:rsidR="007C38BF" w:rsidRPr="007C38BF">
        <w:rPr>
          <w:i/>
          <w:color w:val="0070C0"/>
        </w:rPr>
        <w:t>Carson</w:t>
      </w:r>
      <w:proofErr w:type="gramEnd"/>
      <w:r w:rsidR="007C38BF" w:rsidRPr="007C38BF">
        <w:rPr>
          <w:i/>
          <w:color w:val="0070C0"/>
        </w:rPr>
        <w:t xml:space="preserve"> City Sheriff’s Office</w:t>
      </w:r>
    </w:p>
    <w:p w14:paraId="59580ADA" w14:textId="4A309E8C" w:rsidR="00167701" w:rsidRPr="007C38BF" w:rsidRDefault="00167701" w:rsidP="003107DD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 xml:space="preserve">Pam Del Porto, Inspector General, Nevada Department of Corrections  </w:t>
      </w:r>
    </w:p>
    <w:p w14:paraId="1AAF7CEB" w14:textId="77777777" w:rsidR="00167701" w:rsidRPr="003110FB" w:rsidRDefault="00167701" w:rsidP="003107DD">
      <w:pPr>
        <w:spacing w:after="0"/>
        <w:jc w:val="both"/>
      </w:pPr>
    </w:p>
    <w:p w14:paraId="7F488D41" w14:textId="7095E274" w:rsidR="000B01A4" w:rsidRDefault="00DC4C91" w:rsidP="003107DD">
      <w:pPr>
        <w:pStyle w:val="ListParagraph"/>
        <w:numPr>
          <w:ilvl w:val="0"/>
          <w:numId w:val="1"/>
        </w:numPr>
        <w:spacing w:after="0"/>
        <w:jc w:val="both"/>
      </w:pPr>
      <w:r>
        <w:t>Describe the r</w:t>
      </w:r>
      <w:r w:rsidR="000B01A4" w:rsidRPr="003110FB">
        <w:t>ecommendation:</w:t>
      </w:r>
    </w:p>
    <w:p w14:paraId="7A335198" w14:textId="77777777" w:rsidR="007C38BF" w:rsidRDefault="007C38BF" w:rsidP="003107DD">
      <w:pPr>
        <w:pStyle w:val="ListParagraph"/>
        <w:spacing w:after="0"/>
        <w:jc w:val="both"/>
      </w:pPr>
    </w:p>
    <w:p w14:paraId="1277CA06" w14:textId="5856682B" w:rsidR="009709BC" w:rsidRDefault="009709BC" w:rsidP="009709BC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The working Group submits the following language change be added to the existing Nevada Revised Statute (NRS) for Open Container/Personal Transportation:</w:t>
      </w:r>
    </w:p>
    <w:p w14:paraId="565453C2" w14:textId="6E2A4408" w:rsidR="009709BC" w:rsidRPr="009709BC" w:rsidRDefault="009709BC" w:rsidP="009709BC">
      <w:pPr>
        <w:pStyle w:val="sectbody"/>
        <w:spacing w:before="0" w:beforeAutospacing="0" w:after="0" w:afterAutospacing="0" w:line="200" w:lineRule="atLeast"/>
        <w:ind w:left="720" w:firstLine="45"/>
        <w:jc w:val="both"/>
        <w:rPr>
          <w:rFonts w:asciiTheme="minorHAnsi" w:hAnsiTheme="minorHAnsi"/>
          <w:i/>
          <w:color w:val="0070C0"/>
          <w:sz w:val="22"/>
          <w:szCs w:val="22"/>
        </w:rPr>
      </w:pPr>
      <w:bookmarkStart w:id="1" w:name="NRS484BSec150"/>
      <w:bookmarkEnd w:id="1"/>
      <w:r w:rsidRPr="009709BC">
        <w:rPr>
          <w:rStyle w:val="empty"/>
          <w:rFonts w:asciiTheme="minorHAnsi" w:hAnsiTheme="minorHAnsi"/>
          <w:b/>
          <w:bCs/>
          <w:i/>
          <w:color w:val="0070C0"/>
          <w:sz w:val="22"/>
          <w:szCs w:val="22"/>
        </w:rPr>
        <w:t>NRS</w:t>
      </w:r>
      <w:r w:rsidRPr="009709BC">
        <w:rPr>
          <w:rStyle w:val="empty"/>
          <w:rFonts w:asciiTheme="minorHAnsi" w:hAnsiTheme="minorHAnsi"/>
          <w:b/>
          <w:bCs/>
          <w:i/>
          <w:color w:val="0070C0"/>
          <w:sz w:val="22"/>
          <w:szCs w:val="22"/>
        </w:rPr>
        <w:t> </w:t>
      </w:r>
      <w:r w:rsidRPr="009709BC">
        <w:rPr>
          <w:rStyle w:val="section"/>
          <w:rFonts w:asciiTheme="minorHAnsi" w:hAnsiTheme="minorHAnsi"/>
          <w:b/>
          <w:bCs/>
          <w:i/>
          <w:color w:val="0070C0"/>
          <w:sz w:val="22"/>
          <w:szCs w:val="22"/>
        </w:rPr>
        <w:t>484B.150</w:t>
      </w:r>
      <w:r w:rsidRPr="009709BC">
        <w:rPr>
          <w:rStyle w:val="empty"/>
          <w:rFonts w:asciiTheme="minorHAnsi" w:hAnsiTheme="minorHAnsi"/>
          <w:b/>
          <w:bCs/>
          <w:i/>
          <w:color w:val="0070C0"/>
          <w:sz w:val="22"/>
          <w:szCs w:val="22"/>
        </w:rPr>
        <w:t> </w:t>
      </w:r>
      <w:r w:rsidRPr="009709BC">
        <w:rPr>
          <w:rStyle w:val="empty"/>
          <w:rFonts w:asciiTheme="minorHAnsi" w:hAnsiTheme="minorHAnsi"/>
          <w:b/>
          <w:bCs/>
          <w:i/>
          <w:color w:val="0070C0"/>
          <w:sz w:val="22"/>
          <w:szCs w:val="22"/>
        </w:rPr>
        <w:t> </w:t>
      </w:r>
      <w:r w:rsidRPr="009709BC">
        <w:rPr>
          <w:rStyle w:val="leadline"/>
          <w:rFonts w:asciiTheme="minorHAnsi" w:hAnsiTheme="minorHAnsi"/>
          <w:b/>
          <w:bCs/>
          <w:i/>
          <w:color w:val="0070C0"/>
          <w:sz w:val="22"/>
          <w:szCs w:val="22"/>
        </w:rPr>
        <w:t>Drinking alcoholic beverage while driving motor vehicle unlawful; open container of alcoholic beverage; additional penalty for violation committed in work zone or pedestrian safety zone.</w:t>
      </w:r>
    </w:p>
    <w:p w14:paraId="7C1E25D2" w14:textId="6680E588" w:rsidR="009709BC" w:rsidRPr="009709BC" w:rsidRDefault="009709BC" w:rsidP="009709BC">
      <w:pPr>
        <w:pStyle w:val="sectbody"/>
        <w:spacing w:before="0" w:beforeAutospacing="0" w:after="0" w:afterAutospacing="0" w:line="200" w:lineRule="atLeast"/>
        <w:ind w:lef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proofErr w:type="gramStart"/>
      <w:r w:rsidRPr="009709BC">
        <w:rPr>
          <w:rFonts w:asciiTheme="minorHAnsi" w:hAnsiTheme="minorHAnsi"/>
          <w:i/>
          <w:color w:val="0070C0"/>
          <w:sz w:val="22"/>
          <w:szCs w:val="22"/>
        </w:rPr>
        <w:t>1.</w:t>
      </w:r>
      <w:proofErr w:type="gramEnd"/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 xml:space="preserve">It is unlawful for a person to drink an alcoholic beverage </w:t>
      </w:r>
      <w:r w:rsidRPr="009709BC">
        <w:rPr>
          <w:rFonts w:asciiTheme="minorHAnsi" w:hAnsiTheme="minorHAnsi"/>
          <w:i/>
          <w:color w:val="FF0000"/>
          <w:sz w:val="22"/>
          <w:szCs w:val="22"/>
        </w:rPr>
        <w:t xml:space="preserve">or ingest Marijuana, Concentrated Cannabis, edibles or THC infused drinks 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while the person is driving or in actual physical control of a motor vehicle upon a highway.</w:t>
      </w:r>
    </w:p>
    <w:p w14:paraId="2B9DDC28" w14:textId="79F291B5" w:rsidR="009709BC" w:rsidRPr="009709BC" w:rsidRDefault="009709BC" w:rsidP="009709BC">
      <w:pPr>
        <w:pStyle w:val="sectbody"/>
        <w:spacing w:before="0" w:beforeAutospacing="0" w:after="0" w:afterAutospacing="0" w:line="200" w:lineRule="atLeast"/>
        <w:ind w:lef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9709BC">
        <w:rPr>
          <w:rFonts w:asciiTheme="minorHAnsi" w:hAnsiTheme="minorHAnsi"/>
          <w:i/>
          <w:color w:val="0070C0"/>
          <w:sz w:val="22"/>
          <w:szCs w:val="22"/>
        </w:rPr>
        <w:t>2.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 xml:space="preserve">Except as otherwise provided in this subsection, it is unlawful for a person to have an open container of an alcoholic beverage, </w:t>
      </w:r>
      <w:r w:rsidRPr="009709BC">
        <w:rPr>
          <w:rFonts w:asciiTheme="minorHAnsi" w:hAnsiTheme="minorHAnsi"/>
          <w:i/>
          <w:color w:val="FF0000"/>
          <w:sz w:val="22"/>
          <w:szCs w:val="22"/>
        </w:rPr>
        <w:t>drug paraphernalia, concentrated cannabis, edibles or THC infused drinks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 xml:space="preserve"> within the passenger area of a motor vehicle while the motor vehicle is upon a highway. This subsection does not apply to:</w:t>
      </w:r>
    </w:p>
    <w:p w14:paraId="6213AF8A" w14:textId="6E9DDED1" w:rsidR="009709BC" w:rsidRPr="009709BC" w:rsidRDefault="009709BC" w:rsidP="009709BC">
      <w:pPr>
        <w:pStyle w:val="sectbody"/>
        <w:spacing w:before="0" w:beforeAutospacing="0" w:after="0" w:afterAutospacing="0" w:line="200" w:lineRule="atLeast"/>
        <w:ind w:left="720" w:firstLine="225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9709BC">
        <w:rPr>
          <w:rFonts w:asciiTheme="minorHAnsi" w:hAnsiTheme="minorHAnsi"/>
          <w:i/>
          <w:color w:val="0070C0"/>
          <w:sz w:val="22"/>
          <w:szCs w:val="22"/>
        </w:rPr>
        <w:t>(a)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The passenger area of a motor vehicle which is designed, maintained or used primarily for the transportation of persons for compensation; or</w:t>
      </w:r>
    </w:p>
    <w:p w14:paraId="28422623" w14:textId="3979F5F5" w:rsidR="009709BC" w:rsidRPr="009709BC" w:rsidRDefault="009709BC" w:rsidP="009709BC">
      <w:pPr>
        <w:pStyle w:val="sectbody"/>
        <w:spacing w:before="0" w:beforeAutospacing="0" w:after="0" w:afterAutospacing="0" w:line="200" w:lineRule="atLeast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9709BC">
        <w:rPr>
          <w:rFonts w:asciiTheme="minorHAnsi" w:hAnsiTheme="minorHAnsi"/>
          <w:i/>
          <w:color w:val="0070C0"/>
          <w:sz w:val="22"/>
          <w:szCs w:val="22"/>
        </w:rPr>
        <w:t>  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ab/>
        <w:t>    (b</w:t>
      </w:r>
      <w:proofErr w:type="gramStart"/>
      <w:r w:rsidRPr="009709BC">
        <w:rPr>
          <w:rFonts w:asciiTheme="minorHAnsi" w:hAnsiTheme="minorHAnsi"/>
          <w:i/>
          <w:color w:val="0070C0"/>
          <w:sz w:val="22"/>
          <w:szCs w:val="22"/>
        </w:rPr>
        <w:t>)</w:t>
      </w:r>
      <w:proofErr w:type="gramEnd"/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The living quarters of a house coach or house trailer,</w:t>
      </w:r>
    </w:p>
    <w:p w14:paraId="0CBDE0DD" w14:textId="77777777" w:rsidR="009709BC" w:rsidRPr="009709BC" w:rsidRDefault="009709BC" w:rsidP="009709BC">
      <w:pPr>
        <w:pStyle w:val="sectbody"/>
        <w:spacing w:before="0" w:beforeAutospacing="0" w:after="0" w:afterAutospacing="0" w:line="200" w:lineRule="atLeast"/>
        <w:ind w:lef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9709BC">
        <w:rPr>
          <w:rFonts w:asciiTheme="minorHAnsi" w:hAnsiTheme="minorHAnsi"/>
          <w:i/>
          <w:color w:val="0070C0"/>
          <w:sz w:val="22"/>
          <w:szCs w:val="22"/>
        </w:rPr>
        <w:t>Ê</w:t>
      </w:r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but does apply to the driver of such a motor vehicle who is in possession or control of an open container of an alcoholic beverage.</w:t>
      </w:r>
    </w:p>
    <w:p w14:paraId="6B683116" w14:textId="4A737CB2" w:rsidR="009709BC" w:rsidRPr="009709BC" w:rsidRDefault="009709BC" w:rsidP="009709BC">
      <w:pPr>
        <w:pStyle w:val="sectbody"/>
        <w:spacing w:before="0" w:beforeAutospacing="0" w:after="0" w:afterAutospacing="0" w:line="200" w:lineRule="atLeast"/>
        <w:ind w:left="720" w:firstLine="255"/>
        <w:jc w:val="both"/>
        <w:rPr>
          <w:rFonts w:asciiTheme="minorHAnsi" w:hAnsiTheme="minorHAnsi"/>
          <w:i/>
          <w:color w:val="0070C0"/>
          <w:sz w:val="22"/>
          <w:szCs w:val="22"/>
        </w:rPr>
      </w:pPr>
      <w:proofErr w:type="gramStart"/>
      <w:r w:rsidRPr="009709BC">
        <w:rPr>
          <w:rFonts w:asciiTheme="minorHAnsi" w:hAnsiTheme="minorHAnsi"/>
          <w:i/>
          <w:color w:val="0070C0"/>
          <w:sz w:val="22"/>
          <w:szCs w:val="22"/>
        </w:rPr>
        <w:t>3.</w:t>
      </w:r>
      <w:proofErr w:type="gramEnd"/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A person who violates any provision of this section may be subject to any additional penalty set forth in</w:t>
      </w:r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hyperlink r:id="rId9" w:anchor="NRS484BSec130" w:history="1">
        <w:r w:rsidRPr="009709BC">
          <w:rPr>
            <w:rStyle w:val="Hyperlink"/>
            <w:rFonts w:asciiTheme="minorHAnsi" w:hAnsiTheme="minorHAnsi"/>
            <w:i/>
            <w:color w:val="0070C0"/>
            <w:sz w:val="22"/>
            <w:szCs w:val="22"/>
          </w:rPr>
          <w:t>NRS 484B.130</w:t>
        </w:r>
      </w:hyperlink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or</w:t>
      </w:r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hyperlink r:id="rId10" w:anchor="NRS484BSec135" w:history="1">
        <w:r w:rsidRPr="009709BC">
          <w:rPr>
            <w:rStyle w:val="Hyperlink"/>
            <w:rFonts w:asciiTheme="minorHAnsi" w:hAnsiTheme="minorHAnsi"/>
            <w:i/>
            <w:color w:val="0070C0"/>
            <w:sz w:val="22"/>
            <w:szCs w:val="22"/>
          </w:rPr>
          <w:t>484B.135</w:t>
        </w:r>
      </w:hyperlink>
      <w:r w:rsidRPr="009709BC">
        <w:rPr>
          <w:rFonts w:asciiTheme="minorHAnsi" w:hAnsiTheme="minorHAnsi"/>
          <w:i/>
          <w:color w:val="0070C0"/>
          <w:sz w:val="22"/>
          <w:szCs w:val="22"/>
        </w:rPr>
        <w:t>.</w:t>
      </w:r>
    </w:p>
    <w:p w14:paraId="172FF8AE" w14:textId="4B839A25" w:rsidR="009709BC" w:rsidRPr="009709BC" w:rsidRDefault="009709BC" w:rsidP="009709BC">
      <w:pPr>
        <w:pStyle w:val="sectbody"/>
        <w:spacing w:before="0" w:beforeAutospacing="0" w:after="0" w:afterAutospacing="0" w:line="200" w:lineRule="atLeast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9709BC">
        <w:rPr>
          <w:rFonts w:asciiTheme="minorHAnsi" w:hAnsiTheme="minorHAnsi"/>
          <w:i/>
          <w:color w:val="0070C0"/>
          <w:sz w:val="22"/>
          <w:szCs w:val="22"/>
        </w:rPr>
        <w:t>     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ab/>
        <w:t xml:space="preserve"> </w:t>
      </w:r>
      <w:proofErr w:type="gramStart"/>
      <w:r w:rsidRPr="009709BC">
        <w:rPr>
          <w:rFonts w:asciiTheme="minorHAnsi" w:hAnsiTheme="minorHAnsi"/>
          <w:i/>
          <w:color w:val="0070C0"/>
          <w:sz w:val="22"/>
          <w:szCs w:val="22"/>
        </w:rPr>
        <w:t>4.</w:t>
      </w:r>
      <w:proofErr w:type="gramEnd"/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As used in this section:</w:t>
      </w:r>
    </w:p>
    <w:p w14:paraId="2663DD0A" w14:textId="1F3692DA" w:rsidR="009709BC" w:rsidRPr="009709BC" w:rsidRDefault="009709BC" w:rsidP="009709BC">
      <w:pPr>
        <w:pStyle w:val="sectbody"/>
        <w:spacing w:before="0" w:beforeAutospacing="0" w:after="0" w:afterAutospacing="0" w:line="200" w:lineRule="atLeast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9709BC">
        <w:rPr>
          <w:rFonts w:asciiTheme="minorHAnsi" w:hAnsiTheme="minorHAnsi"/>
          <w:i/>
          <w:color w:val="0070C0"/>
          <w:sz w:val="22"/>
          <w:szCs w:val="22"/>
        </w:rPr>
        <w:t>  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ab/>
        <w:t>   (a</w:t>
      </w:r>
      <w:proofErr w:type="gramStart"/>
      <w:r w:rsidRPr="009709BC">
        <w:rPr>
          <w:rFonts w:asciiTheme="minorHAnsi" w:hAnsiTheme="minorHAnsi"/>
          <w:i/>
          <w:color w:val="0070C0"/>
          <w:sz w:val="22"/>
          <w:szCs w:val="22"/>
        </w:rPr>
        <w:t>)</w:t>
      </w:r>
      <w:proofErr w:type="gramEnd"/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“Alcoholic beverage” has the meaning ascribed to it in</w:t>
      </w:r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hyperlink r:id="rId11" w:anchor="NRS202Sec015" w:history="1">
        <w:r w:rsidRPr="009709BC">
          <w:rPr>
            <w:rStyle w:val="Hyperlink"/>
            <w:rFonts w:asciiTheme="minorHAnsi" w:hAnsiTheme="minorHAnsi"/>
            <w:i/>
            <w:color w:val="0070C0"/>
            <w:sz w:val="22"/>
            <w:szCs w:val="22"/>
          </w:rPr>
          <w:t>NRS 202.015</w:t>
        </w:r>
      </w:hyperlink>
      <w:r w:rsidRPr="009709BC">
        <w:rPr>
          <w:rFonts w:asciiTheme="minorHAnsi" w:hAnsiTheme="minorHAnsi"/>
          <w:i/>
          <w:color w:val="0070C0"/>
          <w:sz w:val="22"/>
          <w:szCs w:val="22"/>
        </w:rPr>
        <w:t>.</w:t>
      </w:r>
    </w:p>
    <w:p w14:paraId="60239A74" w14:textId="5ABD0873" w:rsidR="009709BC" w:rsidRPr="009709BC" w:rsidRDefault="009709BC" w:rsidP="009709BC">
      <w:pPr>
        <w:pStyle w:val="sectbody"/>
        <w:spacing w:before="0" w:beforeAutospacing="0" w:after="0" w:afterAutospacing="0" w:line="200" w:lineRule="atLeast"/>
        <w:ind w:lef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>
        <w:rPr>
          <w:rFonts w:asciiTheme="minorHAnsi" w:hAnsiTheme="minorHAnsi"/>
          <w:i/>
          <w:color w:val="0070C0"/>
          <w:sz w:val="22"/>
          <w:szCs w:val="22"/>
        </w:rPr>
        <w:t xml:space="preserve">  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(b</w:t>
      </w:r>
      <w:proofErr w:type="gramStart"/>
      <w:r w:rsidRPr="009709BC">
        <w:rPr>
          <w:rFonts w:asciiTheme="minorHAnsi" w:hAnsiTheme="minorHAnsi"/>
          <w:i/>
          <w:color w:val="0070C0"/>
          <w:sz w:val="22"/>
          <w:szCs w:val="22"/>
        </w:rPr>
        <w:t>)</w:t>
      </w:r>
      <w:proofErr w:type="gramEnd"/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“Open container” means a container which has been opened or the seal of which has been broken.</w:t>
      </w:r>
    </w:p>
    <w:p w14:paraId="50E93B77" w14:textId="30C8907A" w:rsidR="009709BC" w:rsidRPr="009709BC" w:rsidRDefault="009709BC" w:rsidP="009709BC">
      <w:pPr>
        <w:pStyle w:val="sectbody"/>
        <w:spacing w:before="0" w:beforeAutospacing="0" w:after="0" w:afterAutospacing="0" w:line="200" w:lineRule="atLeast"/>
        <w:ind w:lef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9709BC">
        <w:rPr>
          <w:rFonts w:asciiTheme="minorHAnsi" w:hAnsiTheme="minorHAnsi"/>
          <w:i/>
          <w:color w:val="0070C0"/>
          <w:sz w:val="22"/>
          <w:szCs w:val="22"/>
        </w:rPr>
        <w:t> </w:t>
      </w:r>
      <w:r>
        <w:rPr>
          <w:rFonts w:asciiTheme="minorHAnsi" w:hAnsiTheme="minorHAnsi"/>
          <w:i/>
          <w:color w:val="0070C0"/>
          <w:sz w:val="22"/>
          <w:szCs w:val="22"/>
        </w:rPr>
        <w:t> 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(c</w:t>
      </w:r>
      <w:proofErr w:type="gramStart"/>
      <w:r w:rsidRPr="009709BC">
        <w:rPr>
          <w:rFonts w:asciiTheme="minorHAnsi" w:hAnsiTheme="minorHAnsi"/>
          <w:i/>
          <w:color w:val="0070C0"/>
          <w:sz w:val="22"/>
          <w:szCs w:val="22"/>
        </w:rPr>
        <w:t>)</w:t>
      </w:r>
      <w:proofErr w:type="gramEnd"/>
      <w:r w:rsidRPr="009709BC">
        <w:rPr>
          <w:rFonts w:asciiTheme="minorHAnsi" w:hAnsiTheme="minorHAnsi"/>
          <w:i/>
          <w:color w:val="0070C0"/>
          <w:sz w:val="22"/>
          <w:szCs w:val="22"/>
        </w:rPr>
        <w:t> </w:t>
      </w:r>
      <w:r w:rsidRPr="009709BC">
        <w:rPr>
          <w:rFonts w:asciiTheme="minorHAnsi" w:hAnsiTheme="minorHAnsi"/>
          <w:i/>
          <w:color w:val="0070C0"/>
          <w:sz w:val="22"/>
          <w:szCs w:val="22"/>
        </w:rPr>
        <w:t>“Passenger area” means that area of a vehicle which is designed for the seating of the driver or a passenger.</w:t>
      </w:r>
    </w:p>
    <w:p w14:paraId="1E9B3094" w14:textId="08422C70" w:rsidR="009709BC" w:rsidRPr="009709BC" w:rsidRDefault="009709BC" w:rsidP="009709BC">
      <w:pPr>
        <w:pStyle w:val="sectbody"/>
        <w:spacing w:before="0" w:beforeAutospacing="0" w:after="0" w:afterAutospacing="0" w:line="200" w:lineRule="atLeast"/>
        <w:ind w:firstLine="720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9709BC">
        <w:rPr>
          <w:rFonts w:asciiTheme="minorHAnsi" w:hAnsiTheme="minorHAnsi"/>
          <w:i/>
          <w:color w:val="FF0000"/>
          <w:sz w:val="22"/>
          <w:szCs w:val="22"/>
        </w:rPr>
        <w:t>(d.) “Drug Paraphernalia” has the meaning ascribed to it in NRS 453.554</w:t>
      </w:r>
    </w:p>
    <w:p w14:paraId="42A36A44" w14:textId="7EEC9D13" w:rsidR="009709BC" w:rsidRPr="009709BC" w:rsidRDefault="009709BC" w:rsidP="009709BC">
      <w:pPr>
        <w:pStyle w:val="sourcenote"/>
        <w:spacing w:before="0" w:beforeAutospacing="0" w:after="200" w:afterAutospacing="0" w:line="200" w:lineRule="atLeast"/>
        <w:ind w:lef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9709BC">
        <w:rPr>
          <w:rFonts w:asciiTheme="minorHAnsi" w:hAnsiTheme="minorHAnsi"/>
          <w:i/>
          <w:color w:val="0070C0"/>
          <w:sz w:val="22"/>
          <w:szCs w:val="22"/>
        </w:rPr>
        <w:t>(Added to NRS by</w:t>
      </w:r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hyperlink r:id="rId12" w:anchor="Stats197102page315" w:history="1">
        <w:r w:rsidRPr="009709BC">
          <w:rPr>
            <w:rStyle w:val="Hyperlink"/>
            <w:rFonts w:asciiTheme="minorHAnsi" w:hAnsiTheme="minorHAnsi"/>
            <w:i/>
            <w:color w:val="0070C0"/>
            <w:sz w:val="22"/>
            <w:szCs w:val="22"/>
          </w:rPr>
          <w:t>1971, 315</w:t>
        </w:r>
      </w:hyperlink>
      <w:r w:rsidRPr="009709BC">
        <w:rPr>
          <w:rFonts w:asciiTheme="minorHAnsi" w:hAnsiTheme="minorHAnsi"/>
          <w:i/>
          <w:color w:val="0070C0"/>
          <w:sz w:val="22"/>
          <w:szCs w:val="22"/>
        </w:rPr>
        <w:t>; A</w:t>
      </w:r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hyperlink r:id="rId13" w:anchor="Stats199104page838" w:history="1">
        <w:r w:rsidRPr="009709BC">
          <w:rPr>
            <w:rStyle w:val="Hyperlink"/>
            <w:rFonts w:asciiTheme="minorHAnsi" w:hAnsiTheme="minorHAnsi"/>
            <w:i/>
            <w:color w:val="0070C0"/>
            <w:sz w:val="22"/>
            <w:szCs w:val="22"/>
          </w:rPr>
          <w:t>1991, 838</w:t>
        </w:r>
      </w:hyperlink>
      <w:r w:rsidRPr="009709BC">
        <w:rPr>
          <w:rFonts w:asciiTheme="minorHAnsi" w:hAnsiTheme="minorHAnsi"/>
          <w:i/>
          <w:color w:val="0070C0"/>
          <w:sz w:val="22"/>
          <w:szCs w:val="22"/>
        </w:rPr>
        <w:t>;</w:t>
      </w:r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hyperlink r:id="rId14" w:anchor="Stats200326page3246" w:history="1">
        <w:r w:rsidRPr="009709BC">
          <w:rPr>
            <w:rStyle w:val="Hyperlink"/>
            <w:rFonts w:asciiTheme="minorHAnsi" w:hAnsiTheme="minorHAnsi"/>
            <w:i/>
            <w:color w:val="0070C0"/>
            <w:sz w:val="22"/>
            <w:szCs w:val="22"/>
          </w:rPr>
          <w:t>2003, 3246</w:t>
        </w:r>
      </w:hyperlink>
      <w:r w:rsidRPr="009709BC">
        <w:rPr>
          <w:rFonts w:asciiTheme="minorHAnsi" w:hAnsiTheme="minorHAnsi"/>
          <w:i/>
          <w:color w:val="0070C0"/>
          <w:sz w:val="22"/>
          <w:szCs w:val="22"/>
        </w:rPr>
        <w:t>;</w:t>
      </w:r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hyperlink r:id="rId15" w:anchor="Stats201304page542" w:history="1">
        <w:r w:rsidRPr="009709BC">
          <w:rPr>
            <w:rStyle w:val="Hyperlink"/>
            <w:rFonts w:asciiTheme="minorHAnsi" w:hAnsiTheme="minorHAnsi"/>
            <w:i/>
            <w:color w:val="0070C0"/>
            <w:sz w:val="22"/>
            <w:szCs w:val="22"/>
          </w:rPr>
          <w:t>2013, 542</w:t>
        </w:r>
      </w:hyperlink>
      <w:r w:rsidRPr="009709BC">
        <w:rPr>
          <w:rFonts w:asciiTheme="minorHAnsi" w:hAnsiTheme="minorHAnsi"/>
          <w:i/>
          <w:color w:val="0070C0"/>
          <w:sz w:val="22"/>
          <w:szCs w:val="22"/>
        </w:rPr>
        <w:t>;</w:t>
      </w:r>
      <w:r w:rsidRPr="009709BC">
        <w:rPr>
          <w:rStyle w:val="apple-converted-space"/>
          <w:rFonts w:asciiTheme="minorHAnsi" w:hAnsiTheme="minorHAnsi"/>
          <w:i/>
          <w:color w:val="0070C0"/>
          <w:sz w:val="22"/>
          <w:szCs w:val="22"/>
        </w:rPr>
        <w:t> </w:t>
      </w:r>
      <w:hyperlink r:id="rId16" w:anchor="Stats201515page1561" w:history="1">
        <w:r w:rsidRPr="009709BC">
          <w:rPr>
            <w:rStyle w:val="Hyperlink"/>
            <w:rFonts w:asciiTheme="minorHAnsi" w:hAnsiTheme="minorHAnsi"/>
            <w:i/>
            <w:color w:val="0070C0"/>
            <w:sz w:val="22"/>
            <w:szCs w:val="22"/>
          </w:rPr>
          <w:t>2015, 1561</w:t>
        </w:r>
      </w:hyperlink>
      <w:r w:rsidRPr="009709BC">
        <w:rPr>
          <w:rFonts w:asciiTheme="minorHAnsi" w:hAnsiTheme="minorHAnsi"/>
          <w:i/>
          <w:color w:val="0070C0"/>
          <w:sz w:val="22"/>
          <w:szCs w:val="22"/>
        </w:rPr>
        <w:t>) — (Substituted in revision for NRS 484.448)</w:t>
      </w:r>
    </w:p>
    <w:p w14:paraId="4A3730F6" w14:textId="77777777" w:rsidR="00E9081E" w:rsidRDefault="00E9081E" w:rsidP="009709BC">
      <w:pPr>
        <w:spacing w:after="0"/>
        <w:jc w:val="both"/>
      </w:pPr>
    </w:p>
    <w:p w14:paraId="195B710A" w14:textId="77777777" w:rsidR="009709BC" w:rsidRDefault="009709BC" w:rsidP="009709BC">
      <w:pPr>
        <w:spacing w:after="0"/>
        <w:jc w:val="both"/>
      </w:pPr>
    </w:p>
    <w:p w14:paraId="640C4281" w14:textId="77777777" w:rsidR="009709BC" w:rsidRDefault="009709BC" w:rsidP="009709BC">
      <w:pPr>
        <w:spacing w:after="0"/>
        <w:jc w:val="both"/>
      </w:pPr>
    </w:p>
    <w:p w14:paraId="410D3284" w14:textId="77777777" w:rsidR="009C3E3E" w:rsidRDefault="009C3E3E" w:rsidP="009709BC">
      <w:pPr>
        <w:spacing w:after="0"/>
        <w:jc w:val="both"/>
      </w:pPr>
    </w:p>
    <w:p w14:paraId="45603FB5" w14:textId="77777777" w:rsidR="009709BC" w:rsidRPr="003110FB" w:rsidRDefault="009709BC" w:rsidP="009709BC">
      <w:pPr>
        <w:spacing w:after="0"/>
        <w:jc w:val="both"/>
      </w:pPr>
    </w:p>
    <w:p w14:paraId="425E2003" w14:textId="2FCD5F2E" w:rsidR="00E9081E" w:rsidRPr="003110FB" w:rsidRDefault="00DC4C91" w:rsidP="003107DD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>Which guiding p</w:t>
      </w:r>
      <w:r w:rsidR="00E9081E" w:rsidRPr="003110FB">
        <w:t>rinciple(s) does this recommendation support?</w:t>
      </w:r>
    </w:p>
    <w:p w14:paraId="2FFEFA58" w14:textId="77777777" w:rsidR="00E9081E" w:rsidRPr="003110FB" w:rsidRDefault="00E9081E" w:rsidP="003107DD">
      <w:pPr>
        <w:spacing w:after="0"/>
        <w:jc w:val="both"/>
      </w:pPr>
    </w:p>
    <w:p w14:paraId="2350B45C" w14:textId="783C0E71" w:rsidR="007C38BF" w:rsidRPr="007C38BF" w:rsidRDefault="007C38BF" w:rsidP="003107DD">
      <w:pPr>
        <w:spacing w:after="0"/>
        <w:ind w:left="720"/>
        <w:jc w:val="both"/>
        <w:rPr>
          <w:i/>
          <w:color w:val="0070C0"/>
        </w:rPr>
      </w:pPr>
      <w:r w:rsidRPr="007C38BF">
        <w:rPr>
          <w:i/>
          <w:color w:val="0070C0"/>
        </w:rPr>
        <w:t>Guiding Principle 1 - Promote the health, safety, and well-being of Nevada’s communities</w:t>
      </w:r>
    </w:p>
    <w:p w14:paraId="20877040" w14:textId="77777777" w:rsidR="007C38BF" w:rsidRPr="007C38BF" w:rsidRDefault="007C38BF" w:rsidP="009709BC">
      <w:pPr>
        <w:spacing w:after="0"/>
        <w:jc w:val="both"/>
        <w:rPr>
          <w:i/>
          <w:color w:val="0070C0"/>
        </w:rPr>
      </w:pPr>
    </w:p>
    <w:p w14:paraId="7FAB0FE0" w14:textId="6278A8EE" w:rsidR="007C38BF" w:rsidRDefault="007C38BF" w:rsidP="003107DD">
      <w:pPr>
        <w:spacing w:after="0"/>
        <w:ind w:left="720"/>
        <w:jc w:val="both"/>
        <w:rPr>
          <w:i/>
          <w:color w:val="0070C0"/>
        </w:rPr>
      </w:pPr>
      <w:r w:rsidRPr="007C38BF">
        <w:rPr>
          <w:i/>
          <w:color w:val="0070C0"/>
        </w:rPr>
        <w:t xml:space="preserve">Guiding </w:t>
      </w:r>
      <w:r w:rsidR="009709BC" w:rsidRPr="007C38BF">
        <w:rPr>
          <w:i/>
          <w:color w:val="0070C0"/>
        </w:rPr>
        <w:t>Princi</w:t>
      </w:r>
      <w:r w:rsidR="009709BC">
        <w:rPr>
          <w:i/>
          <w:color w:val="0070C0"/>
        </w:rPr>
        <w:t>p</w:t>
      </w:r>
      <w:r w:rsidR="009709BC" w:rsidRPr="007C38BF">
        <w:rPr>
          <w:i/>
          <w:color w:val="0070C0"/>
        </w:rPr>
        <w:t>le</w:t>
      </w:r>
      <w:r w:rsidRPr="007C38BF">
        <w:rPr>
          <w:i/>
          <w:color w:val="0070C0"/>
        </w:rPr>
        <w:t xml:space="preserve"> 3 - Ensure that youth are protected from the risks associated with marijuana, including preventing the diversion of marijuana to anyone under the age of 21</w:t>
      </w:r>
    </w:p>
    <w:p w14:paraId="1878CB5D" w14:textId="77777777" w:rsidR="009709BC" w:rsidRDefault="009709BC" w:rsidP="003107DD">
      <w:pPr>
        <w:spacing w:after="0"/>
        <w:ind w:left="720"/>
        <w:jc w:val="both"/>
        <w:rPr>
          <w:i/>
          <w:color w:val="0070C0"/>
        </w:rPr>
      </w:pPr>
    </w:p>
    <w:p w14:paraId="6D1E62A2" w14:textId="06B7FCB0" w:rsidR="009709BC" w:rsidRPr="007C38BF" w:rsidRDefault="009709BC" w:rsidP="003107DD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Guiding Principle 4 – Propose efficient and effective regulation that is clear and reasonable and not unduly burdensome.  </w:t>
      </w:r>
    </w:p>
    <w:p w14:paraId="0AF45518" w14:textId="77777777" w:rsidR="007C38BF" w:rsidRPr="007C38BF" w:rsidRDefault="007C38BF" w:rsidP="003107DD">
      <w:pPr>
        <w:spacing w:after="0"/>
        <w:ind w:left="720"/>
        <w:jc w:val="both"/>
        <w:rPr>
          <w:i/>
          <w:color w:val="0070C0"/>
        </w:rPr>
      </w:pPr>
    </w:p>
    <w:p w14:paraId="63D6C0FB" w14:textId="74BDC564" w:rsidR="00E9081E" w:rsidRPr="003107DD" w:rsidRDefault="003107DD" w:rsidP="003107DD">
      <w:pPr>
        <w:spacing w:after="0"/>
        <w:ind w:left="720"/>
        <w:jc w:val="both"/>
        <w:rPr>
          <w:i/>
          <w:color w:val="0070C0"/>
        </w:rPr>
      </w:pPr>
      <w:r w:rsidRPr="003107DD">
        <w:rPr>
          <w:i/>
          <w:color w:val="0070C0"/>
        </w:rPr>
        <w:t xml:space="preserve">Guiding Principle 6 - </w:t>
      </w:r>
      <w:r w:rsidR="007C38BF" w:rsidRPr="003107DD">
        <w:rPr>
          <w:i/>
          <w:color w:val="0070C0"/>
        </w:rPr>
        <w:t>Establish regulations that are clear and practical, so that interactions between law enforcement (at the local, state, and federal levels), consumers, and licensees are predictable and understandable.</w:t>
      </w:r>
    </w:p>
    <w:p w14:paraId="2DC7E08C" w14:textId="77777777" w:rsidR="00E9081E" w:rsidRPr="003110FB" w:rsidRDefault="00E9081E" w:rsidP="003107DD">
      <w:pPr>
        <w:spacing w:after="0"/>
        <w:jc w:val="both"/>
      </w:pPr>
    </w:p>
    <w:p w14:paraId="2F4A8FEE" w14:textId="77777777" w:rsidR="003107DD" w:rsidRDefault="00E9081E" w:rsidP="003107DD">
      <w:pPr>
        <w:pStyle w:val="ListParagraph"/>
        <w:numPr>
          <w:ilvl w:val="0"/>
          <w:numId w:val="1"/>
        </w:numPr>
        <w:spacing w:after="0"/>
        <w:jc w:val="both"/>
      </w:pPr>
      <w:r w:rsidRPr="003110FB">
        <w:t xml:space="preserve">What provision(s) of Question 2 does this recommendation apply to? </w:t>
      </w:r>
    </w:p>
    <w:p w14:paraId="3040B70B" w14:textId="77777777" w:rsidR="003107DD" w:rsidRDefault="003107DD" w:rsidP="003107DD">
      <w:pPr>
        <w:spacing w:after="0"/>
        <w:jc w:val="both"/>
      </w:pPr>
    </w:p>
    <w:p w14:paraId="70EA4A65" w14:textId="07434250" w:rsidR="0015288E" w:rsidRPr="00DB56C3" w:rsidRDefault="00E9081E" w:rsidP="0015288E">
      <w:pPr>
        <w:spacing w:after="0"/>
        <w:ind w:left="720"/>
        <w:jc w:val="both"/>
        <w:rPr>
          <w:i/>
          <w:color w:val="0070C0"/>
        </w:rPr>
      </w:pPr>
      <w:r w:rsidRPr="00DB56C3">
        <w:rPr>
          <w:i/>
          <w:color w:val="0070C0"/>
        </w:rPr>
        <w:t xml:space="preserve"> </w:t>
      </w:r>
      <w:r w:rsidR="0015288E" w:rsidRPr="00DB56C3">
        <w:rPr>
          <w:i/>
          <w:color w:val="0070C0"/>
        </w:rPr>
        <w:t>Section (4</w:t>
      </w:r>
      <w:r w:rsidR="00090690" w:rsidRPr="00DB56C3">
        <w:rPr>
          <w:i/>
          <w:color w:val="0070C0"/>
        </w:rPr>
        <w:t>) Limitations</w:t>
      </w:r>
      <w:r w:rsidR="0015288E" w:rsidRPr="00DB56C3">
        <w:rPr>
          <w:i/>
          <w:color w:val="0070C0"/>
        </w:rPr>
        <w:t>:  Section 1 to Section 18 do not permit any person to engage in and do not prevent the imposition of any civil, criminal, or other penalty for:</w:t>
      </w:r>
    </w:p>
    <w:p w14:paraId="1FCF29ED" w14:textId="77777777" w:rsidR="0015288E" w:rsidRPr="00DB56C3" w:rsidRDefault="0015288E" w:rsidP="0015288E">
      <w:pPr>
        <w:spacing w:after="0"/>
        <w:ind w:left="720"/>
        <w:jc w:val="both"/>
        <w:rPr>
          <w:i/>
          <w:color w:val="0070C0"/>
        </w:rPr>
      </w:pPr>
    </w:p>
    <w:p w14:paraId="67FE160D" w14:textId="68ADF2C0" w:rsidR="00E9081E" w:rsidRDefault="0015288E" w:rsidP="009C3E3E">
      <w:pPr>
        <w:pStyle w:val="ListParagraph"/>
        <w:numPr>
          <w:ilvl w:val="0"/>
          <w:numId w:val="6"/>
        </w:numPr>
        <w:spacing w:after="0"/>
        <w:jc w:val="both"/>
        <w:rPr>
          <w:i/>
          <w:color w:val="0070C0"/>
        </w:rPr>
      </w:pPr>
      <w:r w:rsidRPr="009C3E3E">
        <w:rPr>
          <w:i/>
          <w:color w:val="0070C0"/>
        </w:rPr>
        <w:t>Driving, operating, or being in actual physical control of a vehicle, aircraft, or vessel under power or sail while under the influence of marijuana or while impaired by marijuana.</w:t>
      </w:r>
    </w:p>
    <w:p w14:paraId="7BC204D1" w14:textId="2F0A8140" w:rsidR="009C3E3E" w:rsidRPr="009C3E3E" w:rsidRDefault="009C3E3E" w:rsidP="009C3E3E">
      <w:pPr>
        <w:pStyle w:val="ListParagraph"/>
        <w:numPr>
          <w:ilvl w:val="0"/>
          <w:numId w:val="7"/>
        </w:numPr>
        <w:spacing w:after="0"/>
        <w:jc w:val="both"/>
        <w:rPr>
          <w:i/>
          <w:color w:val="0070C0"/>
        </w:rPr>
      </w:pPr>
      <w:r>
        <w:rPr>
          <w:i/>
          <w:color w:val="0070C0"/>
        </w:rPr>
        <w:t>Undertaking any task under the influence of marijuana that constitutes negligence or professional malpractice.</w:t>
      </w:r>
    </w:p>
    <w:p w14:paraId="6C85577C" w14:textId="77777777" w:rsidR="00E9081E" w:rsidRPr="003110FB" w:rsidRDefault="00E9081E" w:rsidP="00547E3E">
      <w:pPr>
        <w:spacing w:after="0"/>
        <w:jc w:val="both"/>
      </w:pPr>
    </w:p>
    <w:p w14:paraId="527A1772" w14:textId="77777777" w:rsidR="007A4A8C" w:rsidRPr="003110FB" w:rsidRDefault="00E9081E" w:rsidP="003107DD">
      <w:pPr>
        <w:pStyle w:val="ListParagraph"/>
        <w:numPr>
          <w:ilvl w:val="0"/>
          <w:numId w:val="1"/>
        </w:numPr>
        <w:spacing w:after="0"/>
        <w:jc w:val="both"/>
      </w:pPr>
      <w:r w:rsidRPr="003110FB">
        <w:t>What issue(s) does the recommendation resolve?</w:t>
      </w:r>
    </w:p>
    <w:p w14:paraId="41A9C779" w14:textId="77777777" w:rsidR="00DB56C3" w:rsidRPr="009C3E3E" w:rsidRDefault="00DB56C3" w:rsidP="009C3E3E">
      <w:pPr>
        <w:spacing w:after="0"/>
        <w:jc w:val="both"/>
        <w:rPr>
          <w:i/>
          <w:color w:val="0070C0"/>
        </w:rPr>
      </w:pPr>
    </w:p>
    <w:p w14:paraId="1377ECA8" w14:textId="05C92BBB" w:rsidR="001B0ADC" w:rsidRPr="00DB56C3" w:rsidRDefault="009C3E3E" w:rsidP="00DB56C3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This recommendation will resolve the issue of personal transportation of paraphernalia; cannabis infused items, edibles, as well as marijuana. </w:t>
      </w:r>
    </w:p>
    <w:p w14:paraId="7ABEA5B8" w14:textId="77777777" w:rsidR="001B0ADC" w:rsidRPr="00DB56C3" w:rsidRDefault="001B0ADC" w:rsidP="003107DD">
      <w:pPr>
        <w:spacing w:after="0"/>
        <w:jc w:val="both"/>
        <w:rPr>
          <w:i/>
          <w:color w:val="0070C0"/>
        </w:rPr>
      </w:pPr>
    </w:p>
    <w:p w14:paraId="7EE888FD" w14:textId="57F39BB4" w:rsidR="001B0ADC" w:rsidRPr="003110FB" w:rsidRDefault="001B0ADC" w:rsidP="003107DD">
      <w:pPr>
        <w:pStyle w:val="ListParagraph"/>
        <w:numPr>
          <w:ilvl w:val="0"/>
          <w:numId w:val="1"/>
        </w:numPr>
        <w:spacing w:after="0"/>
        <w:jc w:val="both"/>
      </w:pPr>
      <w:r w:rsidRPr="003110FB">
        <w:t>Was there dissent in the group regarding this recommendation?  If yes, please provide a summary of the dissenting opinion regarding the recommendation.</w:t>
      </w:r>
    </w:p>
    <w:p w14:paraId="7818C550" w14:textId="77777777" w:rsidR="00E9081E" w:rsidRPr="003110FB" w:rsidRDefault="00E9081E" w:rsidP="00A534E0">
      <w:pPr>
        <w:spacing w:after="0"/>
        <w:ind w:left="720"/>
        <w:jc w:val="both"/>
      </w:pPr>
    </w:p>
    <w:p w14:paraId="3588FBE3" w14:textId="71CD2781" w:rsidR="00E9081E" w:rsidRDefault="009C3E3E" w:rsidP="00547E3E">
      <w:pPr>
        <w:pStyle w:val="ListParagraph"/>
        <w:spacing w:after="0" w:line="240" w:lineRule="auto"/>
        <w:contextualSpacing w:val="0"/>
        <w:jc w:val="both"/>
        <w:rPr>
          <w:i/>
          <w:color w:val="0070C0"/>
        </w:rPr>
      </w:pPr>
      <w:r>
        <w:rPr>
          <w:i/>
          <w:color w:val="0070C0"/>
        </w:rPr>
        <w:t xml:space="preserve">No Dissent </w:t>
      </w:r>
    </w:p>
    <w:p w14:paraId="667163BE" w14:textId="77777777" w:rsidR="00547E3E" w:rsidRPr="00547E3E" w:rsidRDefault="00547E3E" w:rsidP="00547E3E">
      <w:pPr>
        <w:pStyle w:val="ListParagraph"/>
        <w:spacing w:after="0" w:line="240" w:lineRule="auto"/>
        <w:contextualSpacing w:val="0"/>
        <w:jc w:val="both"/>
        <w:rPr>
          <w:i/>
          <w:color w:val="0070C0"/>
        </w:rPr>
      </w:pPr>
    </w:p>
    <w:p w14:paraId="7FA3B4FD" w14:textId="31A150E3" w:rsidR="00A534E0" w:rsidRDefault="00E9081E" w:rsidP="009C3E3E">
      <w:pPr>
        <w:pStyle w:val="ListParagraph"/>
        <w:numPr>
          <w:ilvl w:val="0"/>
          <w:numId w:val="1"/>
        </w:numPr>
        <w:spacing w:after="0"/>
        <w:jc w:val="both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14A8D522" w14:textId="77777777" w:rsidR="009C3E3E" w:rsidRPr="009C3E3E" w:rsidRDefault="009C3E3E" w:rsidP="009C3E3E">
      <w:pPr>
        <w:spacing w:after="0"/>
        <w:ind w:left="360"/>
        <w:jc w:val="both"/>
      </w:pPr>
    </w:p>
    <w:p w14:paraId="02F811B9" w14:textId="6DC6347F" w:rsidR="00A534E0" w:rsidRPr="00547E3E" w:rsidRDefault="009C3E3E" w:rsidP="00547E3E">
      <w:pPr>
        <w:spacing w:after="200" w:line="276" w:lineRule="auto"/>
        <w:ind w:left="720"/>
        <w:jc w:val="both"/>
        <w:rPr>
          <w:i/>
          <w:color w:val="0070C0"/>
        </w:rPr>
      </w:pPr>
      <w:r w:rsidRPr="00547E3E">
        <w:rPr>
          <w:i/>
          <w:color w:val="0070C0"/>
        </w:rPr>
        <w:t>An update of the existing NRS would be needed to reflect the changes in the statute for NRS 484B.150</w:t>
      </w:r>
      <w:r w:rsidR="00547E3E" w:rsidRPr="00547E3E">
        <w:rPr>
          <w:i/>
          <w:color w:val="0070C0"/>
        </w:rPr>
        <w:t xml:space="preserve"> regarding open container in a motor vehicle.  </w:t>
      </w:r>
    </w:p>
    <w:p w14:paraId="6E62C578" w14:textId="77777777" w:rsidR="00E9081E" w:rsidRPr="00445035" w:rsidRDefault="00E9081E" w:rsidP="00445035">
      <w:pPr>
        <w:pStyle w:val="ListParagraph"/>
        <w:spacing w:after="0"/>
        <w:jc w:val="both"/>
      </w:pPr>
    </w:p>
    <w:p w14:paraId="40B722E6" w14:textId="4A4FC88A" w:rsidR="00547E3E" w:rsidRDefault="00CC30A8" w:rsidP="00547E3E">
      <w:pPr>
        <w:pStyle w:val="ListParagraph"/>
        <w:numPr>
          <w:ilvl w:val="0"/>
          <w:numId w:val="1"/>
        </w:numPr>
        <w:spacing w:after="0"/>
        <w:jc w:val="both"/>
      </w:pPr>
      <w:r w:rsidRPr="003110FB">
        <w:t xml:space="preserve">Additional information (cost of implementation, priority according to the recommendations, </w:t>
      </w:r>
      <w:r w:rsidR="00090690" w:rsidRPr="003110FB">
        <w:t>etc.</w:t>
      </w:r>
      <w:r w:rsidRPr="003110FB">
        <w:t>)</w:t>
      </w:r>
      <w:r w:rsidR="00B70E4E" w:rsidRPr="003110FB">
        <w:t>.</w:t>
      </w:r>
    </w:p>
    <w:p w14:paraId="270C4ECF" w14:textId="311847BA" w:rsidR="00547E3E" w:rsidRPr="00547E3E" w:rsidRDefault="00547E3E" w:rsidP="00547E3E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Little to no cost </w:t>
      </w:r>
    </w:p>
    <w:sectPr w:rsidR="00547E3E" w:rsidRPr="00547E3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A6917" w14:textId="77777777" w:rsidR="00331E7A" w:rsidRDefault="00331E7A" w:rsidP="00391997">
      <w:pPr>
        <w:spacing w:after="0" w:line="240" w:lineRule="auto"/>
      </w:pPr>
      <w:r>
        <w:separator/>
      </w:r>
    </w:p>
  </w:endnote>
  <w:endnote w:type="continuationSeparator" w:id="0">
    <w:p w14:paraId="4BF48733" w14:textId="77777777" w:rsidR="00331E7A" w:rsidRDefault="00331E7A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63836FD3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3F1E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34268E">
      <w:rPr>
        <w:rFonts w:ascii="Calibri" w:eastAsia="Times New Roman" w:hAnsi="Calibri" w:cs="Times New Roman"/>
        <w:b/>
        <w:i/>
        <w:color w:val="3737A5"/>
        <w:sz w:val="16"/>
        <w:szCs w:val="16"/>
      </w:rPr>
      <w:t>Open Container and Personal Transport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34268E">
      <w:rPr>
        <w:rFonts w:ascii="Calibri" w:eastAsia="Times New Roman" w:hAnsi="Calibri" w:cs="Times New Roman"/>
        <w:bCs/>
        <w:i/>
        <w:color w:val="3737A5"/>
        <w:sz w:val="16"/>
        <w:szCs w:val="16"/>
      </w:rPr>
      <w:t>April 28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0969" w14:textId="77777777" w:rsidR="00331E7A" w:rsidRDefault="00331E7A" w:rsidP="00391997">
      <w:pPr>
        <w:spacing w:after="0" w:line="240" w:lineRule="auto"/>
      </w:pPr>
      <w:r>
        <w:separator/>
      </w:r>
    </w:p>
  </w:footnote>
  <w:footnote w:type="continuationSeparator" w:id="0">
    <w:p w14:paraId="7FFFC314" w14:textId="77777777" w:rsidR="00331E7A" w:rsidRDefault="00331E7A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6E9323D7" w:rsidR="00F43822" w:rsidRPr="00F43822" w:rsidRDefault="00167701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Personal Transport</w:t>
    </w:r>
    <w:r w:rsidR="009C3E3E">
      <w:rPr>
        <w:sz w:val="22"/>
        <w:szCs w:val="22"/>
      </w:rPr>
      <w:t xml:space="preserve"> and Open Container </w:t>
    </w:r>
    <w:r>
      <w:rPr>
        <w:sz w:val="22"/>
        <w:szCs w:val="22"/>
      </w:rPr>
      <w:t>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D37"/>
    <w:multiLevelType w:val="hybridMultilevel"/>
    <w:tmpl w:val="62640C4E"/>
    <w:lvl w:ilvl="0" w:tplc="D27806C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A416C"/>
    <w:multiLevelType w:val="hybridMultilevel"/>
    <w:tmpl w:val="4080E9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5C5"/>
    <w:multiLevelType w:val="hybridMultilevel"/>
    <w:tmpl w:val="431027D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2489FD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4046"/>
    <w:multiLevelType w:val="hybridMultilevel"/>
    <w:tmpl w:val="474E0F9A"/>
    <w:lvl w:ilvl="0" w:tplc="000A0266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F83F54"/>
    <w:multiLevelType w:val="hybridMultilevel"/>
    <w:tmpl w:val="7CF8C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699"/>
    <w:multiLevelType w:val="hybridMultilevel"/>
    <w:tmpl w:val="7756A442"/>
    <w:lvl w:ilvl="0" w:tplc="8B047E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1E7D"/>
    <w:rsid w:val="00002F6E"/>
    <w:rsid w:val="00060468"/>
    <w:rsid w:val="00090690"/>
    <w:rsid w:val="000A61D0"/>
    <w:rsid w:val="000B01A4"/>
    <w:rsid w:val="00114EF2"/>
    <w:rsid w:val="0015288E"/>
    <w:rsid w:val="00167701"/>
    <w:rsid w:val="001866F9"/>
    <w:rsid w:val="001B0ADC"/>
    <w:rsid w:val="001B10FF"/>
    <w:rsid w:val="00201687"/>
    <w:rsid w:val="00202E4C"/>
    <w:rsid w:val="0023729A"/>
    <w:rsid w:val="002E1AB3"/>
    <w:rsid w:val="003107DD"/>
    <w:rsid w:val="003110FB"/>
    <w:rsid w:val="00331E7A"/>
    <w:rsid w:val="0034268E"/>
    <w:rsid w:val="00391997"/>
    <w:rsid w:val="004039AB"/>
    <w:rsid w:val="00435662"/>
    <w:rsid w:val="00442A3F"/>
    <w:rsid w:val="00445035"/>
    <w:rsid w:val="00547E3E"/>
    <w:rsid w:val="00565923"/>
    <w:rsid w:val="005E102D"/>
    <w:rsid w:val="006B0A7E"/>
    <w:rsid w:val="006D4662"/>
    <w:rsid w:val="00700DCA"/>
    <w:rsid w:val="00753FA6"/>
    <w:rsid w:val="007746E2"/>
    <w:rsid w:val="00774894"/>
    <w:rsid w:val="007765FD"/>
    <w:rsid w:val="007A4A8C"/>
    <w:rsid w:val="007C38BF"/>
    <w:rsid w:val="008313F9"/>
    <w:rsid w:val="00863DA1"/>
    <w:rsid w:val="00882EE9"/>
    <w:rsid w:val="008D5094"/>
    <w:rsid w:val="008F0634"/>
    <w:rsid w:val="009201F4"/>
    <w:rsid w:val="009264B2"/>
    <w:rsid w:val="00957E83"/>
    <w:rsid w:val="00961D8A"/>
    <w:rsid w:val="009709BC"/>
    <w:rsid w:val="009805E6"/>
    <w:rsid w:val="00996A51"/>
    <w:rsid w:val="009C3E3E"/>
    <w:rsid w:val="009D1938"/>
    <w:rsid w:val="00A312E6"/>
    <w:rsid w:val="00A534E0"/>
    <w:rsid w:val="00A65F54"/>
    <w:rsid w:val="00AB71F7"/>
    <w:rsid w:val="00AE6B07"/>
    <w:rsid w:val="00B11C15"/>
    <w:rsid w:val="00B70E4E"/>
    <w:rsid w:val="00BC0B03"/>
    <w:rsid w:val="00BC0F10"/>
    <w:rsid w:val="00BF6BBC"/>
    <w:rsid w:val="00C81CBB"/>
    <w:rsid w:val="00CC30A8"/>
    <w:rsid w:val="00D22E65"/>
    <w:rsid w:val="00D926ED"/>
    <w:rsid w:val="00DA287B"/>
    <w:rsid w:val="00DB5061"/>
    <w:rsid w:val="00DB56C3"/>
    <w:rsid w:val="00DC4C91"/>
    <w:rsid w:val="00DD1A10"/>
    <w:rsid w:val="00DE0ABD"/>
    <w:rsid w:val="00E9081E"/>
    <w:rsid w:val="00E96CEA"/>
    <w:rsid w:val="00EC03A5"/>
    <w:rsid w:val="00F046BC"/>
    <w:rsid w:val="00F27CF2"/>
    <w:rsid w:val="00F43822"/>
    <w:rsid w:val="00FB317F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sectbody">
    <w:name w:val="sectbody"/>
    <w:basedOn w:val="Normal"/>
    <w:rsid w:val="009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9709BC"/>
  </w:style>
  <w:style w:type="character" w:customStyle="1" w:styleId="apple-converted-space">
    <w:name w:val="apple-converted-space"/>
    <w:basedOn w:val="DefaultParagraphFont"/>
    <w:rsid w:val="009709BC"/>
  </w:style>
  <w:style w:type="character" w:customStyle="1" w:styleId="section">
    <w:name w:val="section"/>
    <w:basedOn w:val="DefaultParagraphFont"/>
    <w:rsid w:val="009709BC"/>
  </w:style>
  <w:style w:type="character" w:customStyle="1" w:styleId="leadline">
    <w:name w:val="leadline"/>
    <w:basedOn w:val="DefaultParagraphFont"/>
    <w:rsid w:val="009709BC"/>
  </w:style>
  <w:style w:type="paragraph" w:customStyle="1" w:styleId="sourcenote">
    <w:name w:val="sourcenote"/>
    <w:basedOn w:val="Normal"/>
    <w:rsid w:val="009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sectbody">
    <w:name w:val="sectbody"/>
    <w:basedOn w:val="Normal"/>
    <w:rsid w:val="009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9709BC"/>
  </w:style>
  <w:style w:type="character" w:customStyle="1" w:styleId="apple-converted-space">
    <w:name w:val="apple-converted-space"/>
    <w:basedOn w:val="DefaultParagraphFont"/>
    <w:rsid w:val="009709BC"/>
  </w:style>
  <w:style w:type="character" w:customStyle="1" w:styleId="section">
    <w:name w:val="section"/>
    <w:basedOn w:val="DefaultParagraphFont"/>
    <w:rsid w:val="009709BC"/>
  </w:style>
  <w:style w:type="character" w:customStyle="1" w:styleId="leadline">
    <w:name w:val="leadline"/>
    <w:basedOn w:val="DefaultParagraphFont"/>
    <w:rsid w:val="009709BC"/>
  </w:style>
  <w:style w:type="paragraph" w:customStyle="1" w:styleId="sourcenote">
    <w:name w:val="sourcenote"/>
    <w:basedOn w:val="Normal"/>
    <w:rsid w:val="009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.state.nv.us/Statutes/66th/Stats199104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eg.state.nv.us/Statutes/56th/Stats197102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eg.state.nv.us/Statutes/78th2015/Stats20151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.state.nv.us/NRS/NRS-20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g.state.nv.us/Statutes/77th2013/Stats201304.html" TargetMode="External"/><Relationship Id="rId10" Type="http://schemas.openxmlformats.org/officeDocument/2006/relationships/hyperlink" Target="https://www.leg.state.nv.us/NRS/NRS-484B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eg.state.nv.us/NRS/NRS-484B.html" TargetMode="External"/><Relationship Id="rId14" Type="http://schemas.openxmlformats.org/officeDocument/2006/relationships/hyperlink" Target="https://www.leg.state.nv.us/Statutes/72nd/Stats20032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6DA4-E0B1-47F5-8A43-A64A90E3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2017-03-24T18:06:00Z</cp:lastPrinted>
  <dcterms:created xsi:type="dcterms:W3CDTF">2017-04-17T16:30:00Z</dcterms:created>
  <dcterms:modified xsi:type="dcterms:W3CDTF">2017-04-17T16:30:00Z</dcterms:modified>
</cp:coreProperties>
</file>